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2880" w:firstLine="720"/>
        <w:jc w:val="left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br w:type="textWrapping"/>
        <w:t xml:space="preserve">  JOB DESCRIPTION</w:t>
      </w:r>
    </w:p>
    <w:tbl>
      <w:tblPr>
        <w:tblStyle w:val="Table1"/>
        <w:tblW w:w="88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3375"/>
        <w:gridCol w:w="1980"/>
        <w:gridCol w:w="1665"/>
        <w:tblGridChange w:id="0">
          <w:tblGrid>
            <w:gridCol w:w="1845"/>
            <w:gridCol w:w="3375"/>
            <w:gridCol w:w="1980"/>
            <w:gridCol w:w="166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HEADSTART COORDINATOR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EXECUTIVE DIRECTOR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Headstart Coordinator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responsible for supervising  various departments and employees within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as well as managing the Head Start and Early Childhood Development Initiative programs.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involves acting as a liaison and nurturing a community environment between staff, families, and all individuals affiliated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 The Headstart Coordinator will report directly to the Executive Director and provide leadership to program staff within the organization. </w:t>
      </w:r>
    </w:p>
    <w:p w:rsidR="00000000" w:rsidDel="00000000" w:rsidP="00000000" w:rsidRDefault="00000000" w:rsidRPr="00000000" w14:paraId="0000000E">
      <w:pPr>
        <w:shd w:fill="d9d9d9" w:val="clear"/>
        <w:spacing w:line="240" w:lineRule="auto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Oversee the screening and assessment of children at the beginning and end of the year.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Coordinate the recruiting, screening, and enrolling of eligible children in the program, and completing orientation sessions with new families.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Create a welcoming environment for caregivers/parents; facilitate communication between caregivers/parents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 employees, ensure all information about the progress of children is delivered and 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emphasize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 the role caregivers/parents have as the 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princip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al influence in the life of their children.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Facilitate meeting and general communication between teachers and parents/caregivers to discuss the progress of the children.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Supervise the intake, selection, and registration of children.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Provide guidance and supervision to program staff and ensure that all program activities are conducted in accordance with organizational policies and procedures.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Ensure the pursuit of program goals by all program staff: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1275.5905511811022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Promote child development through a child-centred and play-based integrated curriculum.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1275.5905511811022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Provide pre-school development through six main program components (culture and language, education, health, nutrition, parental involvement, and community social support).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Direct parents/caregivers to external resources and community services/agencies.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Uphold and ensure all program staff adhere to the terms of the confidentiality policy.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Maintain detailed records and reports to ensure continued adherence with Health Canada and Early Childhood Development Initiative requirements. 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Ensure that all established program routines, policies, and procedures are aimed at providing the children with positive guidance, support and a sense of security.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Assure the safety and comfort of the children and regularly monitor program staff to ensure adherence with safety standards.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Design and implement strategies to promote parental knowledge, learning, and confidence in their direct involvement with the education of their children.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Establish and maintain collaborative relationships with major partners and other community services and agencies.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Develop and maintain a network of resources, agencies, cultural advisors, and community members that may support the program.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Periodically review, update, and implement new recruitment, assessment, and screening procedures for program admission, child observation, and referral processes.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Schedule the assignment of staff resources, provide coverage for staff when required.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Ensure regular and positive interaction with the children.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Perform recruitment, selection, and hiring of new program staff, in collaboration with the Executive Director.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Initiate performance management and evaluation of staff performance.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In consultation with the Executive Director and in adherence to policy, dismiss staff when appropriate.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Provide monthly expenditure reports to the Executive Director.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Draft and track annual budgets and provide recommendations to the Executive Director on financial matters.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Develop proposals for expansion and/or enhancement of the program. 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Order materials, supplies and equipment as needed and in accordance with the budget.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Hold regular meetings with Head Start staff.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Attend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] staff meetings, board meetings as requested, and inter-agency meetings as appropriate.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Create business plans and delegate responsibilities as needed.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Establish annual goals and objectives and assign them to staff members as appropriate.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Oversee and perform all administrative tasks as required.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08.6614173228347" w:hanging="360"/>
        <w:rPr>
          <w:rFonts w:ascii="Calibri" w:cs="Calibri" w:eastAsia="Calibri" w:hAnsi="Calibri"/>
          <w:color w:val="25252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Additional assignments as required by the Executive Director.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Secondary School diploma or equivalent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Post-secondary degree or diploma in Early Childhood Education or a related field is considered a strong asset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Experience working with children in Aboriginal communities is an asset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in the child care industry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years of experience working as a coordinator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40" w:lineRule="auto"/>
        <w:ind w:left="566.929133858267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Proven track record of successful Child Care coordination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40" w:lineRule="auto"/>
        <w:ind w:left="566.929133858267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First Aid Certificate and Criminal Reference/Vulnerable Sector Check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d9d9d9" w:val="clear"/>
        <w:spacing w:before="4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Capable of communicating with parents and colleagues about the progress of the children in their care. To effectively provide this information, they must have excellent communication skills.</w:t>
        <w:br w:type="textWrapping"/>
        <w:br w:type="textWrapping"/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possess excellent active listening skills.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demonstrate sound judgement in order to respond to emergencies or difficult situations.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capable of explaining things in terms that young children can understand.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work well with others to develop positive relationships with parents, children, and colleagues.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able to respond in a calm manner when faced with overwhelming and difficult situations.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value the safety and comfort of children above all else.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d9d9d9" w:val="clear"/>
        <w:spacing w:line="240" w:lineRule="auto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set in a classroom environment: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2"/>
        </w:numPr>
        <w:spacing w:after="0" w:afterAutospacing="0" w:before="0" w:beforeAutospacing="0" w:line="229.90779876708984" w:lineRule="auto"/>
        <w:ind w:left="1440" w:right="282.9553222656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moderate exposure to bodily wastes and fluids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2"/>
        </w:numPr>
        <w:spacing w:before="0" w:beforeAutospacing="0" w:line="229.90779876708984" w:lineRule="auto"/>
        <w:ind w:left="1440" w:right="172.126464843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noise and interruptions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hours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Sitting or standing for long periods.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